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jc w:val="center"/>
        <w:rPr>
          <w:rFonts w:hint="eastAsia"/>
          <w:b/>
          <w:bCs/>
          <w:sz w:val="32"/>
          <w:szCs w:val="32"/>
        </w:rPr>
      </w:pPr>
      <w:r>
        <w:rPr>
          <w:rFonts w:hint="eastAsia"/>
          <w:b/>
          <w:bCs/>
          <w:sz w:val="32"/>
          <w:szCs w:val="32"/>
        </w:rPr>
        <w:t>河南省安阳市文峰区人民法院民事裁定书</w:t>
      </w:r>
    </w:p>
    <w:p>
      <w:pPr>
        <w:jc w:val="center"/>
        <w:rPr>
          <w:rFonts w:hint="eastAsia"/>
          <w:b/>
          <w:bCs/>
          <w:sz w:val="32"/>
          <w:szCs w:val="32"/>
        </w:rPr>
      </w:pPr>
    </w:p>
    <w:p>
      <w:pPr>
        <w:rPr>
          <w:rFonts w:hint="eastAsia" w:ascii="宋体" w:hAnsi="宋体" w:eastAsia="宋体" w:cs="宋体"/>
          <w:sz w:val="28"/>
          <w:szCs w:val="28"/>
        </w:rPr>
      </w:pPr>
      <w:r>
        <w:rPr>
          <w:rFonts w:hint="eastAsia" w:ascii="宋体" w:hAnsi="宋体" w:eastAsia="宋体" w:cs="宋体"/>
          <w:sz w:val="28"/>
          <w:szCs w:val="28"/>
        </w:rPr>
        <w:t>原告:谷青，女，1968年10月27日出生，汉族，住安阳市北关区曙光路北段418号院1号楼4单元18号。</w:t>
      </w:r>
    </w:p>
    <w:p>
      <w:pPr>
        <w:rPr>
          <w:rFonts w:hint="eastAsia" w:ascii="宋体" w:hAnsi="宋体" w:eastAsia="宋体" w:cs="宋体"/>
          <w:sz w:val="28"/>
          <w:szCs w:val="28"/>
        </w:rPr>
      </w:pPr>
      <w:r>
        <w:rPr>
          <w:rFonts w:hint="eastAsia" w:ascii="宋体" w:hAnsi="宋体" w:eastAsia="宋体" w:cs="宋体"/>
          <w:sz w:val="28"/>
          <w:szCs w:val="28"/>
        </w:rPr>
        <w:t>委托诉讼代理人:秦力帆，河南国厚律师事务所律师。</w:t>
      </w:r>
    </w:p>
    <w:p>
      <w:pPr>
        <w:rPr>
          <w:rFonts w:hint="eastAsia" w:ascii="宋体" w:hAnsi="宋体" w:eastAsia="宋体" w:cs="宋体"/>
          <w:sz w:val="28"/>
          <w:szCs w:val="28"/>
          <w:lang w:eastAsia="zh-CN"/>
        </w:rPr>
      </w:pPr>
      <w:r>
        <w:rPr>
          <w:rFonts w:hint="eastAsia" w:ascii="宋体" w:hAnsi="宋体" w:eastAsia="宋体" w:cs="宋体"/>
          <w:sz w:val="28"/>
          <w:szCs w:val="28"/>
        </w:rPr>
        <w:t>被告:河南继营电力设备有限公司，住所地安阳市文峰区平原路142号</w:t>
      </w:r>
      <w:r>
        <w:rPr>
          <w:rFonts w:hint="eastAsia" w:ascii="宋体" w:hAnsi="宋体" w:eastAsia="宋体" w:cs="宋体"/>
          <w:sz w:val="28"/>
          <w:szCs w:val="28"/>
          <w:lang w:eastAsia="zh-CN"/>
        </w:rPr>
        <w:t>。</w:t>
      </w:r>
    </w:p>
    <w:p>
      <w:pPr>
        <w:rPr>
          <w:rFonts w:hint="eastAsia" w:ascii="宋体" w:hAnsi="宋体" w:eastAsia="宋体" w:cs="宋体"/>
          <w:sz w:val="28"/>
          <w:szCs w:val="28"/>
        </w:rPr>
      </w:pPr>
      <w:r>
        <w:rPr>
          <w:rFonts w:hint="eastAsia" w:ascii="宋体" w:hAnsi="宋体" w:eastAsia="宋体" w:cs="宋体"/>
          <w:sz w:val="28"/>
          <w:szCs w:val="28"/>
        </w:rPr>
        <w:t>法定代表人:张国萍</w:t>
      </w:r>
    </w:p>
    <w:p>
      <w:pPr>
        <w:rPr>
          <w:rFonts w:hint="eastAsia" w:ascii="宋体" w:hAnsi="宋体" w:eastAsia="宋体" w:cs="宋体"/>
          <w:sz w:val="28"/>
          <w:szCs w:val="28"/>
        </w:rPr>
      </w:pPr>
      <w:r>
        <w:rPr>
          <w:rFonts w:hint="eastAsia" w:ascii="宋体" w:hAnsi="宋体" w:eastAsia="宋体" w:cs="宋体"/>
          <w:sz w:val="28"/>
          <w:szCs w:val="28"/>
        </w:rPr>
        <w:t>委托诉讼代理人:樊红英，河南衡中师事务所律师。</w:t>
      </w:r>
    </w:p>
    <w:p>
      <w:pPr>
        <w:rPr>
          <w:rFonts w:hint="eastAsia" w:ascii="宋体" w:hAnsi="宋体" w:eastAsia="宋体" w:cs="宋体"/>
          <w:sz w:val="28"/>
          <w:szCs w:val="28"/>
          <w:lang w:eastAsia="zh-CN"/>
        </w:rPr>
      </w:pPr>
      <w:r>
        <w:rPr>
          <w:rFonts w:hint="eastAsia" w:ascii="宋体" w:hAnsi="宋体" w:eastAsia="宋体" w:cs="宋体"/>
          <w:sz w:val="28"/>
          <w:szCs w:val="28"/>
        </w:rPr>
        <w:t>原告谷青与被告河南继营电力设备有限公司民间</w:t>
      </w:r>
      <w:r>
        <w:rPr>
          <w:rFonts w:hint="eastAsia" w:ascii="宋体" w:hAnsi="宋体" w:eastAsia="宋体" w:cs="宋体"/>
          <w:sz w:val="28"/>
          <w:szCs w:val="28"/>
          <w:lang w:eastAsia="zh-CN"/>
        </w:rPr>
        <w:t>借</w:t>
      </w:r>
      <w:r>
        <w:rPr>
          <w:rFonts w:hint="eastAsia" w:ascii="宋体" w:hAnsi="宋体" w:eastAsia="宋体" w:cs="宋体"/>
          <w:sz w:val="28"/>
          <w:szCs w:val="28"/>
        </w:rPr>
        <w:t>货纠</w:t>
      </w:r>
      <w:r>
        <w:rPr>
          <w:rFonts w:hint="eastAsia" w:ascii="宋体" w:hAnsi="宋体" w:eastAsia="宋体" w:cs="宋体"/>
          <w:sz w:val="28"/>
          <w:szCs w:val="28"/>
          <w:lang w:eastAsia="zh-CN"/>
        </w:rPr>
        <w:t>分</w:t>
      </w:r>
      <w:r>
        <w:rPr>
          <w:rFonts w:hint="eastAsia" w:ascii="宋体" w:hAnsi="宋体" w:eastAsia="宋体" w:cs="宋体"/>
          <w:sz w:val="28"/>
          <w:szCs w:val="28"/>
        </w:rPr>
        <w:t>案，本院于2017年8月1日立案。原告谷情于2017年9月27日向本院提出诉中请</w:t>
      </w:r>
      <w:r>
        <w:rPr>
          <w:rFonts w:hint="eastAsia" w:ascii="宋体" w:hAnsi="宋体" w:eastAsia="宋体" w:cs="宋体"/>
          <w:sz w:val="28"/>
          <w:szCs w:val="28"/>
          <w:lang w:eastAsia="zh-CN"/>
        </w:rPr>
        <w:t>。</w:t>
      </w:r>
    </w:p>
    <w:p>
      <w:pPr>
        <w:rPr>
          <w:rFonts w:hint="eastAsia" w:ascii="宋体" w:hAnsi="宋体" w:eastAsia="宋体" w:cs="宋体"/>
          <w:sz w:val="28"/>
          <w:szCs w:val="28"/>
        </w:rPr>
      </w:pPr>
      <w:r>
        <w:rPr>
          <w:rFonts w:hint="eastAsia" w:ascii="宋体" w:hAnsi="宋体" w:eastAsia="宋体" w:cs="宋体"/>
          <w:sz w:val="28"/>
          <w:szCs w:val="28"/>
        </w:rPr>
        <w:t>本院认为，原告谷青的数诉中请符合法律规定，本院子以准许依照《中华人民共和国民事诉语法》第一百四十五条第一款规定，定如下</w:t>
      </w:r>
    </w:p>
    <w:p>
      <w:pPr>
        <w:rPr>
          <w:rFonts w:hint="eastAsia" w:ascii="宋体" w:hAnsi="宋体" w:eastAsia="宋体" w:cs="宋体"/>
          <w:sz w:val="28"/>
          <w:szCs w:val="28"/>
        </w:rPr>
      </w:pPr>
      <w:r>
        <w:rPr>
          <w:rFonts w:hint="eastAsia" w:ascii="宋体" w:hAnsi="宋体" w:eastAsia="宋体" w:cs="宋体"/>
          <w:sz w:val="28"/>
          <w:szCs w:val="28"/>
        </w:rPr>
        <w:t>有许原告谷青抛诉。</w:t>
      </w:r>
    </w:p>
    <w:p>
      <w:pPr>
        <w:rPr>
          <w:rFonts w:hint="eastAsia" w:ascii="宋体" w:hAnsi="宋体" w:eastAsia="宋体" w:cs="宋体"/>
          <w:sz w:val="28"/>
          <w:szCs w:val="28"/>
        </w:rPr>
      </w:pPr>
      <w:r>
        <w:rPr>
          <w:rFonts w:hint="eastAsia" w:ascii="宋体" w:hAnsi="宋体" w:eastAsia="宋体" w:cs="宋体"/>
          <w:sz w:val="28"/>
          <w:szCs w:val="28"/>
        </w:rPr>
        <w:t>案件受理费4300元，减半收取计2150元，由原告谷青负</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作依据的是《普通混凝土配合比设计规程》T5-201，该设计规程没有“计算泥凝土摔合物的体积和混凝土空隙率”的操作规程，枝花公路公司也没有进行该操作枝花公路公司同时在庭审中陈述了其混凝土制作流程。</w:t>
      </w:r>
    </w:p>
    <w:p>
      <w:pPr>
        <w:rPr>
          <w:rFonts w:hint="eastAsia" w:ascii="宋体" w:hAnsi="宋体" w:eastAsia="宋体" w:cs="宋体"/>
          <w:sz w:val="28"/>
          <w:szCs w:val="28"/>
          <w:lang w:eastAsia="zh-CN"/>
        </w:rPr>
      </w:pPr>
      <w:r>
        <w:rPr>
          <w:rFonts w:hint="eastAsia" w:ascii="宋体" w:hAnsi="宋体" w:eastAsia="宋体" w:cs="宋体"/>
          <w:sz w:val="28"/>
          <w:szCs w:val="28"/>
        </w:rPr>
        <w:t>原告王玉海认为枝花公路公司的该陈述真实性存疑</w:t>
      </w:r>
      <w:r>
        <w:rPr>
          <w:rFonts w:hint="eastAsia" w:ascii="宋体" w:hAnsi="宋体" w:eastAsia="宋体" w:cs="宋体"/>
          <w:sz w:val="28"/>
          <w:szCs w:val="28"/>
          <w:lang w:eastAsia="zh-CN"/>
        </w:rPr>
        <w:t>。</w:t>
      </w:r>
    </w:p>
    <w:p>
      <w:pPr>
        <w:rPr>
          <w:rFonts w:hint="eastAsia" w:ascii="宋体" w:hAnsi="宋体" w:eastAsia="宋体" w:cs="宋体"/>
          <w:sz w:val="28"/>
          <w:szCs w:val="28"/>
          <w:lang w:eastAsia="zh-CN"/>
        </w:rPr>
      </w:pPr>
      <w:r>
        <w:rPr>
          <w:rFonts w:hint="eastAsia" w:ascii="宋体" w:hAnsi="宋体" w:eastAsia="宋体" w:cs="宋体"/>
          <w:sz w:val="28"/>
          <w:szCs w:val="28"/>
        </w:rPr>
        <w:t>被告安阳西北绕城公路公司关于被诉侵权技术方案是否侵权的意见与枝花公路公司的意见相同，同时陈，其对学枝花公路公司混土的要求远低于王玉海的涉案专利</w:t>
      </w:r>
      <w:r>
        <w:rPr>
          <w:rFonts w:hint="eastAsia" w:ascii="宋体" w:hAnsi="宋体" w:eastAsia="宋体" w:cs="宋体"/>
          <w:sz w:val="28"/>
          <w:szCs w:val="28"/>
          <w:lang w:eastAsia="zh-CN"/>
        </w:rPr>
        <w:t>。</w:t>
      </w:r>
    </w:p>
    <w:p>
      <w:pPr>
        <w:rPr>
          <w:rFonts w:hint="eastAsia" w:ascii="宋体" w:hAnsi="宋体" w:eastAsia="宋体" w:cs="宋体"/>
          <w:sz w:val="28"/>
          <w:szCs w:val="28"/>
          <w:lang w:eastAsia="zh-CN"/>
        </w:rPr>
      </w:pPr>
      <w:r>
        <w:rPr>
          <w:rFonts w:hint="eastAsia" w:ascii="宋体" w:hAnsi="宋体" w:eastAsia="宋体" w:cs="宋体"/>
          <w:sz w:val="28"/>
          <w:szCs w:val="28"/>
        </w:rPr>
        <w:t>本院认为，原告王玉海依法获得ZL20071011796.8号“现代混凝土配制方法及现代溉土配台比发明专利，并在专利保护期内接时纳了年类，其专利合法有效，应受法律保护。《中华人民共和国专利注》第十一条第一款规定、发明和实用新型专利权被子后，除本法另有视定的以外，任何单位或者个人未经专利权人许可，都不得买施其专利，即不得为生产经营目的制造使用、许诺销售，销售、进口其专利产品，或者使用其专利方法以及使用、许话销售，销告、进口依副该专利方法直接获得的产品。第五十九条第一款期定，发明或者实用新型专利权的保护范以其权利要求的内容为准，说明书及用图可以用于解释权利要求的内容。《最高人民法院关于理侵专权绘案件应用法律若于同的样》第七条现定，人民院判定被诉侵技术方是否落入专利权的保护范图，应当軍査权利人主张的权利要求所的全部技术持征。</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规定，判决如下:</w:t>
      </w:r>
    </w:p>
    <w:p>
      <w:pPr>
        <w:rPr>
          <w:rFonts w:hint="eastAsia" w:ascii="宋体" w:hAnsi="宋体" w:eastAsia="宋体" w:cs="宋体"/>
          <w:sz w:val="28"/>
          <w:szCs w:val="28"/>
          <w:lang w:eastAsia="zh-CN"/>
        </w:rPr>
      </w:pPr>
      <w:r>
        <w:rPr>
          <w:rFonts w:hint="eastAsia" w:ascii="宋体" w:hAnsi="宋体" w:eastAsia="宋体" w:cs="宋体"/>
          <w:sz w:val="28"/>
          <w:szCs w:val="28"/>
        </w:rPr>
        <w:t>被告昌红利于本判决生效之日起十日内给付原告学彦林承包费人民币40000元</w:t>
      </w:r>
      <w:r>
        <w:rPr>
          <w:rFonts w:hint="eastAsia" w:ascii="宋体" w:hAnsi="宋体" w:eastAsia="宋体" w:cs="宋体"/>
          <w:sz w:val="28"/>
          <w:szCs w:val="28"/>
          <w:lang w:eastAsia="zh-CN"/>
        </w:rPr>
        <w:t>。</w:t>
      </w:r>
    </w:p>
    <w:p>
      <w:pPr>
        <w:rPr>
          <w:rFonts w:hint="eastAsia" w:ascii="宋体" w:hAnsi="宋体" w:eastAsia="宋体" w:cs="宋体"/>
          <w:sz w:val="28"/>
          <w:szCs w:val="28"/>
          <w:lang w:eastAsia="zh-CN"/>
        </w:rPr>
      </w:pPr>
      <w:r>
        <w:rPr>
          <w:rFonts w:hint="eastAsia" w:ascii="宋体" w:hAnsi="宋体" w:eastAsia="宋体" w:cs="宋体"/>
          <w:sz w:val="28"/>
          <w:szCs w:val="28"/>
        </w:rPr>
        <w:t>如果未按本判决规定的期间履行给付金钱义务，应当根据《中华人民共和国民事诉途法》第二百五十三条之规定，加倍支什迟延履行期问的情务利息案件受理费800元，由被告吕红利负担如不服本判决，可在木判决书送达之日起十五日内，向本院交上诉状，并按对方当事人的人数提出本，上诉于河南名安阳市中级人民法院</w:t>
      </w:r>
      <w:r>
        <w:rPr>
          <w:rFonts w:hint="eastAsia" w:ascii="宋体" w:hAnsi="宋体" w:eastAsia="宋体" w:cs="宋体"/>
          <w:sz w:val="28"/>
          <w:szCs w:val="28"/>
          <w:lang w:eastAsia="zh-CN"/>
        </w:rPr>
        <w:t>。</w:t>
      </w:r>
    </w:p>
    <w:p>
      <w:pPr>
        <w:rPr>
          <w:rFonts w:hint="eastAsia" w:ascii="宋体" w:hAnsi="宋体" w:eastAsia="宋体" w:cs="宋体"/>
          <w:sz w:val="28"/>
          <w:szCs w:val="28"/>
          <w:lang w:eastAsia="zh-CN"/>
        </w:rPr>
      </w:pPr>
      <w:bookmarkStart w:id="0" w:name="_GoBack"/>
      <w:bookmarkEnd w:id="0"/>
    </w:p>
    <w:p>
      <w:pPr>
        <w:jc w:val="right"/>
        <w:rPr>
          <w:rFonts w:hint="eastAsia" w:ascii="宋体" w:hAnsi="宋体" w:eastAsia="宋体" w:cs="宋体"/>
          <w:sz w:val="28"/>
          <w:szCs w:val="28"/>
        </w:rPr>
      </w:pPr>
      <w:r>
        <w:rPr>
          <w:rFonts w:hint="eastAsia" w:ascii="宋体" w:hAnsi="宋体" w:eastAsia="宋体" w:cs="宋体"/>
          <w:sz w:val="28"/>
          <w:szCs w:val="28"/>
        </w:rPr>
        <w:t>审判长</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刘艳雨</w:t>
      </w:r>
    </w:p>
    <w:p>
      <w:pPr>
        <w:jc w:val="right"/>
        <w:rPr>
          <w:rFonts w:hint="eastAsia" w:ascii="宋体" w:hAnsi="宋体" w:eastAsia="宋体" w:cs="宋体"/>
          <w:sz w:val="28"/>
          <w:szCs w:val="28"/>
        </w:rPr>
      </w:pPr>
      <w:r>
        <w:rPr>
          <w:rFonts w:hint="eastAsia" w:ascii="宋体" w:hAnsi="宋体" w:eastAsia="宋体" w:cs="宋体"/>
          <w:sz w:val="28"/>
          <w:szCs w:val="28"/>
        </w:rPr>
        <w:t>审判员</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员刘亚峰</w:t>
      </w:r>
    </w:p>
    <w:p>
      <w:pPr>
        <w:jc w:val="right"/>
        <w:rPr>
          <w:rFonts w:hint="eastAsia" w:ascii="宋体" w:hAnsi="宋体" w:eastAsia="宋体" w:cs="宋体"/>
          <w:sz w:val="28"/>
          <w:szCs w:val="28"/>
        </w:rPr>
      </w:pPr>
      <w:r>
        <w:rPr>
          <w:rFonts w:hint="eastAsia" w:ascii="宋体" w:hAnsi="宋体" w:eastAsia="宋体" w:cs="宋体"/>
          <w:sz w:val="28"/>
          <w:szCs w:val="28"/>
        </w:rPr>
        <w:t>审判员</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张启芳</w:t>
      </w:r>
    </w:p>
    <w:p>
      <w:pPr>
        <w:jc w:val="right"/>
        <w:rPr>
          <w:rFonts w:hint="eastAsia" w:ascii="宋体" w:hAnsi="宋体" w:eastAsia="宋体" w:cs="宋体"/>
          <w:sz w:val="28"/>
          <w:szCs w:val="28"/>
        </w:rPr>
      </w:pPr>
      <w:r>
        <w:rPr>
          <w:rFonts w:hint="eastAsia" w:ascii="宋体" w:hAnsi="宋体" w:eastAsia="宋体" w:cs="宋体"/>
          <w:sz w:val="28"/>
          <w:szCs w:val="28"/>
        </w:rPr>
        <w:t>本作与本核对无</w:t>
      </w:r>
    </w:p>
    <w:p>
      <w:pPr>
        <w:jc w:val="right"/>
        <w:rPr>
          <w:rFonts w:hint="eastAsia" w:ascii="宋体" w:hAnsi="宋体" w:eastAsia="宋体" w:cs="宋体"/>
          <w:sz w:val="28"/>
          <w:szCs w:val="28"/>
        </w:rPr>
      </w:pPr>
      <w:r>
        <w:rPr>
          <w:rFonts w:hint="eastAsia" w:ascii="宋体" w:hAnsi="宋体" w:eastAsia="宋体" w:cs="宋体"/>
          <w:sz w:val="28"/>
          <w:szCs w:val="28"/>
        </w:rPr>
        <w:t>代理书记员</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王静楠</w:t>
      </w:r>
    </w:p>
    <w:p>
      <w:pPr>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033F85"/>
    <w:rsid w:val="5D880D10"/>
    <w:rsid w:val="7F033F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2019-07-17T07:23:00Z</dcterms:created>
  <dc:creator>倔强</dc:creator>
  <cp:lastModifiedBy>倔强</cp:lastModifiedBy>
  <dcterms:modified xsi:type="dcterms:W3CDTF">2019-07-17T08:35:14Z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