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河南省安阳市中级人民法院民事判决书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017)豫D5民终2915号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上诉入(原审被告):并海军，1972年3月31日出生，汉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族，住安阳市文峰区平屎路94号市粮食局家属楼1号楼]単元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502室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委托诉代理入关英，河南衡中律事务所伴师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上诉人(原审被告)王忠泽，号，1968年9月8日出生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汉族，住安阳市殷祁区高楼庄后街88号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委托诉代理人:红英，河南衡中律师事务所律师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上诉人(原审被告)河南元建设集团有限公司，住所地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安阳市文峰区东工路37号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法定代表人：王文俊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职务：经理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委托代理诉讼人</w:t>
      </w:r>
      <w:r>
        <w:rPr>
          <w:rFonts w:hint="eastAsia" w:ascii="宋体" w:hAnsi="宋体" w:eastAsia="宋体" w:cs="宋体"/>
          <w:sz w:val="28"/>
          <w:szCs w:val="28"/>
        </w:rPr>
        <w:t>白国华、男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、住安阳市文峰区</w:t>
      </w:r>
      <w:r>
        <w:rPr>
          <w:rFonts w:hint="eastAsia" w:ascii="宋体" w:hAnsi="宋体" w:eastAsia="宋体" w:cs="宋体"/>
          <w:sz w:val="28"/>
          <w:szCs w:val="28"/>
        </w:rPr>
        <w:t>三官南区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二东一排158号，系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改</w:t>
      </w:r>
      <w:r>
        <w:rPr>
          <w:rFonts w:hint="eastAsia" w:ascii="宋体" w:hAnsi="宋体" w:eastAsia="宋体" w:cs="宋体"/>
          <w:sz w:val="28"/>
          <w:szCs w:val="28"/>
        </w:rPr>
        <w:t>公司经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理。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委托诉讼代理人：樊红英、河南衡中律师事务所律师。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被上诉人(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原审原告），王凯、男、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</w:rPr>
        <w:t>89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</w:rPr>
        <w:t>6月15日出生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汉族，住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安阳县安丰乡东稻田村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1号。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凝土最大堆积密度原理不同，案专利说明指出该专利技术克服了假定容重法的缺点。少被诉優权技术方案依据《普通混凝土配合比设计规程》機作，没有计算混土合物的体积和混凝土空隙率的操作规程，③对比王玉海案专利权利要求1中的步骤(5），被诉慢权技术方案直接设计的是大于的情形，没有其他三个步骤而且制抗压强度过分大于设计抗压强度，枝花公路公司采用的是调整水胶比重新实验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被诉权技术方案与王玉海涉案专利权利要求2有以下不同:①没有略细矿粉，没有低慧挥发性材样、因被诉侵权技术方案不後犯王玉海涉業考利权利要求1，因此也不侵犯权利要求2。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被诉侵权技术方案与王玉海涉楽专利权利要求5有以下不同:①王玉海涉案专利表述为“对自密实混土配合北，其特在在于加被诉侵权技术方案生所的混土系振型混疑士②有细矿粉因被诉便权技术方案不侵犯王玉海泸案专利权利要求1，因此也不侵犯权利要求5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练上，被诉侵权技术方案没有落入王玉海涉案专利权利要求1，2，5的保护范，不侵犯王玉海的步案专利。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庭审中，原告王玉海陈述其宰“专利权利要求1第四项通过材的空率计算各种材料用量的方法为最大密度法”，被告学核花公路公司述普通混凝上容重是2000-2800，根据T-3标段混土检测报其混凝七容重在2400-2500间:共混疑土制16项目案标段是其施工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案件申请费2670元，由原告上海旋力锅炉钢管有限公司负担。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本裁定立即开始执行。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如不服本裁定，可以自收到裁定书之日起五日内向本院申请复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次，复议期间不停止裁定的执行。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9E2E41"/>
    <w:multiLevelType w:val="singleLevel"/>
    <w:tmpl w:val="E79E2E4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840B7"/>
    <w:rsid w:val="0D8840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2019-07-17T07:54:00Z</dcterms:created>
  <dc:creator>倔强</dc:creator>
  <cp:lastModifiedBy>倔强</cp:lastModifiedBy>
  <dcterms:modified xsi:type="dcterms:W3CDTF">2019-07-17T08:14:08Z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